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EE" w:rsidRDefault="00262AEE">
      <w:pPr>
        <w:rPr>
          <w:u w:val="single"/>
        </w:rPr>
      </w:pPr>
      <w:r w:rsidRPr="00262AEE">
        <w:rPr>
          <w:u w:val="single"/>
        </w:rPr>
        <w:t>Truancy Intervention Process Renville County</w:t>
      </w:r>
      <w:r w:rsidR="00AD4347">
        <w:rPr>
          <w:rStyle w:val="FootnoteReference"/>
          <w:u w:val="single"/>
        </w:rPr>
        <w:footnoteReference w:id="1"/>
      </w:r>
      <w:r>
        <w:rPr>
          <w:u w:val="single"/>
        </w:rPr>
        <w:t xml:space="preserve">  </w:t>
      </w:r>
    </w:p>
    <w:p w:rsidR="00AD4347" w:rsidRDefault="00AD4347">
      <w:pPr>
        <w:rPr>
          <w:u w:val="single"/>
        </w:rPr>
      </w:pPr>
    </w:p>
    <w:p w:rsidR="00E12B24" w:rsidRDefault="00E12B24">
      <w:pPr>
        <w:rPr>
          <w:u w:val="single"/>
        </w:rPr>
      </w:pPr>
      <w:r>
        <w:rPr>
          <w:u w:val="single"/>
        </w:rPr>
        <w:t>Proce</w:t>
      </w:r>
      <w:r w:rsidR="00EB4800">
        <w:rPr>
          <w:u w:val="single"/>
        </w:rPr>
        <w:t>dure for Truant Students</w:t>
      </w:r>
    </w:p>
    <w:p w:rsidR="00EB4800" w:rsidRDefault="00EB4800">
      <w:pPr>
        <w:rPr>
          <w:u w:val="single"/>
        </w:rPr>
      </w:pPr>
    </w:p>
    <w:p w:rsidR="00801CCA" w:rsidRDefault="00AD4347" w:rsidP="00801CCA">
      <w:pPr>
        <w:pStyle w:val="ListParagraph"/>
        <w:numPr>
          <w:ilvl w:val="0"/>
          <w:numId w:val="1"/>
        </w:numPr>
      </w:pPr>
      <w:r>
        <w:t>Monitor student absences and identify truant students</w:t>
      </w:r>
      <w:r w:rsidR="002E0532">
        <w:t>.</w:t>
      </w:r>
    </w:p>
    <w:p w:rsidR="0062478E" w:rsidRDefault="0062478E" w:rsidP="00801CCA">
      <w:pPr>
        <w:pStyle w:val="ListParagraph"/>
        <w:numPr>
          <w:ilvl w:val="0"/>
          <w:numId w:val="1"/>
        </w:numPr>
      </w:pPr>
      <w:r>
        <w:t>1</w:t>
      </w:r>
      <w:r w:rsidRPr="0062478E">
        <w:rPr>
          <w:vertAlign w:val="superscript"/>
        </w:rPr>
        <w:t>st</w:t>
      </w:r>
      <w:r>
        <w:t xml:space="preserve"> Parent Letter</w:t>
      </w:r>
    </w:p>
    <w:p w:rsidR="00AD4347" w:rsidRDefault="00AD4347" w:rsidP="0062478E">
      <w:pPr>
        <w:pStyle w:val="ListParagraph"/>
        <w:numPr>
          <w:ilvl w:val="1"/>
          <w:numId w:val="1"/>
        </w:numPr>
      </w:pPr>
      <w:r>
        <w:t>When a child has three unexcused absence</w:t>
      </w:r>
      <w:r w:rsidR="00801CCA">
        <w:t>s</w:t>
      </w:r>
      <w:r>
        <w:t xml:space="preserve">, send </w:t>
      </w:r>
      <w:r w:rsidR="00855D31">
        <w:t>Parent L</w:t>
      </w:r>
      <w:r>
        <w:t>etter pursuant to MN Stat. 260A.03</w:t>
      </w:r>
      <w:r w:rsidR="00801CCA">
        <w:t>.</w:t>
      </w:r>
    </w:p>
    <w:p w:rsidR="00801CCA" w:rsidRDefault="00801CCA" w:rsidP="00801CCA">
      <w:pPr>
        <w:pStyle w:val="ListParagraph"/>
        <w:numPr>
          <w:ilvl w:val="1"/>
          <w:numId w:val="1"/>
        </w:numPr>
      </w:pPr>
      <w:r w:rsidRPr="00801CCA">
        <w:t>There is specific statutory language that must be included in this letter.</w:t>
      </w:r>
      <w:r>
        <w:t xml:space="preserve">  See page 13 for a sample letter.</w:t>
      </w:r>
    </w:p>
    <w:p w:rsidR="00801CCA" w:rsidRDefault="00801CCA" w:rsidP="00801CCA">
      <w:pPr>
        <w:pStyle w:val="ListParagraph"/>
        <w:numPr>
          <w:ilvl w:val="1"/>
          <w:numId w:val="1"/>
        </w:numPr>
      </w:pPr>
      <w:r>
        <w:t>This first letter will not set up a meeting unless requested by the parent.</w:t>
      </w:r>
    </w:p>
    <w:p w:rsidR="0062478E" w:rsidRDefault="0062478E" w:rsidP="00801CCA">
      <w:pPr>
        <w:pStyle w:val="ListParagraph"/>
        <w:numPr>
          <w:ilvl w:val="0"/>
          <w:numId w:val="1"/>
        </w:numPr>
      </w:pPr>
      <w:r>
        <w:t>Second Parent Letter</w:t>
      </w:r>
    </w:p>
    <w:p w:rsidR="00801CCA" w:rsidRDefault="00E12B24" w:rsidP="0062478E">
      <w:pPr>
        <w:pStyle w:val="ListParagraph"/>
        <w:numPr>
          <w:ilvl w:val="1"/>
          <w:numId w:val="1"/>
        </w:numPr>
      </w:pPr>
      <w:r>
        <w:t xml:space="preserve">If and when the </w:t>
      </w:r>
      <w:r w:rsidR="00801CCA">
        <w:t>child reaches 5 unexcused absences</w:t>
      </w:r>
      <w:r w:rsidR="00855D31">
        <w:t xml:space="preserve"> a second letter is </w:t>
      </w:r>
      <w:r>
        <w:t xml:space="preserve">sent setting a time for a meeting with the parents, school officials, and a representative from Renville County Human Services.  </w:t>
      </w:r>
    </w:p>
    <w:p w:rsidR="00E12B24" w:rsidRDefault="00E12B24" w:rsidP="00E12B24">
      <w:pPr>
        <w:pStyle w:val="ListParagraph"/>
        <w:numPr>
          <w:ilvl w:val="1"/>
          <w:numId w:val="1"/>
        </w:numPr>
      </w:pPr>
      <w:r>
        <w:t xml:space="preserve">Recommendation is that the </w:t>
      </w:r>
      <w:proofErr w:type="gramStart"/>
      <w:r>
        <w:t>school set the time for the meeting in the letter</w:t>
      </w:r>
      <w:r w:rsidR="00EB4800">
        <w:t xml:space="preserve"> and st</w:t>
      </w:r>
      <w:r w:rsidR="00A355D7">
        <w:t>ick</w:t>
      </w:r>
      <w:proofErr w:type="gramEnd"/>
      <w:r w:rsidR="00A355D7">
        <w:t xml:space="preserve"> to that date and time </w:t>
      </w:r>
      <w:r w:rsidR="00EB4800">
        <w:t>as much as possible</w:t>
      </w:r>
      <w:r>
        <w:t xml:space="preserve">.  See page 14 for a sample letter. </w:t>
      </w:r>
    </w:p>
    <w:p w:rsidR="00E12B24" w:rsidRDefault="00E12B24" w:rsidP="00E12B24">
      <w:pPr>
        <w:pStyle w:val="ListParagraph"/>
        <w:numPr>
          <w:ilvl w:val="1"/>
          <w:numId w:val="1"/>
        </w:numPr>
      </w:pPr>
      <w:r>
        <w:t>At the meeting parties can explore reasons for failure of the child to be in school and remedies to get the child to school</w:t>
      </w:r>
      <w:r w:rsidR="00EB4800">
        <w:rPr>
          <w:rStyle w:val="FootnoteReference"/>
        </w:rPr>
        <w:footnoteReference w:id="2"/>
      </w:r>
      <w:r>
        <w:t xml:space="preserve">.  </w:t>
      </w:r>
    </w:p>
    <w:p w:rsidR="00855D31" w:rsidRDefault="00E12B24" w:rsidP="00855D31">
      <w:pPr>
        <w:pStyle w:val="ListParagraph"/>
        <w:numPr>
          <w:ilvl w:val="1"/>
          <w:numId w:val="1"/>
        </w:numPr>
      </w:pPr>
      <w:r>
        <w:t xml:space="preserve">Parties may sign a School Attendance Contract, sample on page 16. </w:t>
      </w:r>
    </w:p>
    <w:p w:rsidR="0062478E" w:rsidRDefault="0062478E" w:rsidP="00E12B24">
      <w:pPr>
        <w:pStyle w:val="ListParagraph"/>
        <w:numPr>
          <w:ilvl w:val="0"/>
          <w:numId w:val="1"/>
        </w:numPr>
      </w:pPr>
      <w:r>
        <w:t>Third Parent Letter</w:t>
      </w:r>
    </w:p>
    <w:p w:rsidR="00E12B24" w:rsidRDefault="003E3164" w:rsidP="0062478E">
      <w:pPr>
        <w:pStyle w:val="ListParagraph"/>
        <w:numPr>
          <w:ilvl w:val="1"/>
          <w:numId w:val="1"/>
        </w:numPr>
      </w:pPr>
      <w:r>
        <w:t>If p</w:t>
      </w:r>
      <w:r w:rsidR="00E12B24">
        <w:t xml:space="preserve">arents fail to respond or attend the meeting, a third letter should be sent that explains that further action can be taken by the County Attorney’s Office.  </w:t>
      </w:r>
    </w:p>
    <w:p w:rsidR="00E12B24" w:rsidRDefault="00E12B24" w:rsidP="00E12B24">
      <w:pPr>
        <w:pStyle w:val="ListParagraph"/>
        <w:numPr>
          <w:ilvl w:val="1"/>
          <w:numId w:val="1"/>
        </w:numPr>
      </w:pPr>
      <w:r>
        <w:t>See page 15 for sample “No Show Letter.”</w:t>
      </w:r>
    </w:p>
    <w:p w:rsidR="0062478E" w:rsidRDefault="0062478E" w:rsidP="00E12B24">
      <w:pPr>
        <w:pStyle w:val="ListParagraph"/>
        <w:numPr>
          <w:ilvl w:val="0"/>
          <w:numId w:val="1"/>
        </w:numPr>
      </w:pPr>
      <w:r>
        <w:t>Truancy</w:t>
      </w:r>
    </w:p>
    <w:p w:rsidR="00E12B24" w:rsidRDefault="00E12B24" w:rsidP="0062478E">
      <w:pPr>
        <w:pStyle w:val="ListParagraph"/>
        <w:numPr>
          <w:ilvl w:val="1"/>
          <w:numId w:val="1"/>
        </w:numPr>
      </w:pPr>
      <w:r>
        <w:t>When a child reaches 7 unexcused absences the child should be referred to the County Attorney’s office for prosecution.</w:t>
      </w:r>
    </w:p>
    <w:p w:rsidR="00E12B24" w:rsidRDefault="00E12B24" w:rsidP="00E12B24">
      <w:pPr>
        <w:pStyle w:val="ListParagraph"/>
        <w:numPr>
          <w:ilvl w:val="1"/>
          <w:numId w:val="1"/>
        </w:numPr>
      </w:pPr>
      <w:r>
        <w:t>Send the child’s current attendance record.</w:t>
      </w:r>
    </w:p>
    <w:p w:rsidR="00E12B24" w:rsidRDefault="00855D31" w:rsidP="00E12B24">
      <w:pPr>
        <w:pStyle w:val="ListParagraph"/>
        <w:numPr>
          <w:ilvl w:val="1"/>
          <w:numId w:val="1"/>
        </w:numPr>
      </w:pPr>
      <w:r>
        <w:t>Send c</w:t>
      </w:r>
      <w:r w:rsidR="00E12B24">
        <w:t xml:space="preserve">opies of the above letters and any evidence that the letters have been returned or not able to be delivered.  </w:t>
      </w:r>
    </w:p>
    <w:p w:rsidR="00E12B24" w:rsidRDefault="00855D31" w:rsidP="00E12B24">
      <w:pPr>
        <w:pStyle w:val="ListParagraph"/>
        <w:numPr>
          <w:ilvl w:val="1"/>
          <w:numId w:val="1"/>
        </w:numPr>
      </w:pPr>
      <w:r>
        <w:t>Send a</w:t>
      </w:r>
      <w:r w:rsidR="00E12B24">
        <w:t xml:space="preserve">ny </w:t>
      </w:r>
      <w:r>
        <w:t xml:space="preserve">signed </w:t>
      </w:r>
      <w:r w:rsidR="00E12B24">
        <w:t xml:space="preserve">contracts or other documents showing the school’s effort to assist the child to get to school.  A written summary of those efforts </w:t>
      </w:r>
      <w:r w:rsidR="002E0532">
        <w:t xml:space="preserve">is </w:t>
      </w:r>
      <w:r w:rsidR="00E12B24">
        <w:t xml:space="preserve">acceptable.  </w:t>
      </w:r>
    </w:p>
    <w:p w:rsidR="00855D31" w:rsidRDefault="00855D31" w:rsidP="00E12B24">
      <w:pPr>
        <w:pStyle w:val="ListParagraph"/>
        <w:numPr>
          <w:ilvl w:val="1"/>
          <w:numId w:val="1"/>
        </w:numPr>
      </w:pPr>
      <w:r>
        <w:t xml:space="preserve">The County Attorney’s office will also request documents from Human Services where appropriate. </w:t>
      </w:r>
    </w:p>
    <w:p w:rsidR="0062478E" w:rsidRDefault="0062478E" w:rsidP="00E12B24">
      <w:pPr>
        <w:pStyle w:val="ListParagraph"/>
        <w:numPr>
          <w:ilvl w:val="0"/>
          <w:numId w:val="1"/>
        </w:numPr>
      </w:pPr>
      <w:r>
        <w:t>Petition</w:t>
      </w:r>
    </w:p>
    <w:p w:rsidR="00E12B24" w:rsidRDefault="00E12B24" w:rsidP="0062478E">
      <w:pPr>
        <w:pStyle w:val="ListParagraph"/>
        <w:numPr>
          <w:ilvl w:val="1"/>
          <w:numId w:val="1"/>
        </w:numPr>
      </w:pPr>
      <w:r>
        <w:t xml:space="preserve">The County Attorney’s Office will file a CHIPs petition </w:t>
      </w:r>
      <w:r w:rsidR="00855D31">
        <w:t xml:space="preserve">in Court </w:t>
      </w:r>
      <w:r>
        <w:t xml:space="preserve">naming the </w:t>
      </w:r>
      <w:r w:rsidR="00855D31">
        <w:t xml:space="preserve">Appropriate </w:t>
      </w:r>
      <w:r>
        <w:t xml:space="preserve">School </w:t>
      </w:r>
      <w:r w:rsidR="00855D31">
        <w:t>District</w:t>
      </w:r>
      <w:r>
        <w:t xml:space="preserve"> as the Petitioner.</w:t>
      </w:r>
      <w:r w:rsidR="00A355D7">
        <w:rPr>
          <w:rStyle w:val="FootnoteReference"/>
        </w:rPr>
        <w:footnoteReference w:id="3"/>
      </w:r>
      <w:r>
        <w:t xml:space="preserve"> </w:t>
      </w:r>
    </w:p>
    <w:p w:rsidR="00855D31" w:rsidRDefault="00A355D7" w:rsidP="00855D31">
      <w:pPr>
        <w:pStyle w:val="ListParagraph"/>
        <w:numPr>
          <w:ilvl w:val="1"/>
          <w:numId w:val="1"/>
        </w:numPr>
      </w:pPr>
      <w:r>
        <w:lastRenderedPageBreak/>
        <w:t xml:space="preserve">Each school district should </w:t>
      </w:r>
      <w:r w:rsidR="00EB4800">
        <w:t>d</w:t>
      </w:r>
      <w:r>
        <w:t>esignate</w:t>
      </w:r>
      <w:r w:rsidR="00E12B24">
        <w:t xml:space="preserve"> </w:t>
      </w:r>
      <w:r w:rsidR="00EB4800">
        <w:t xml:space="preserve">a </w:t>
      </w:r>
      <w:r>
        <w:t xml:space="preserve">staff member </w:t>
      </w:r>
      <w:r w:rsidR="003E3164">
        <w:t>to sign the petitions in front of a n</w:t>
      </w:r>
      <w:r w:rsidR="00855D31">
        <w:t>otary</w:t>
      </w:r>
      <w:r w:rsidR="00EB4800">
        <w:t xml:space="preserve"> and attend Court</w:t>
      </w:r>
      <w:r w:rsidR="00855D31">
        <w:t xml:space="preserve">.  </w:t>
      </w:r>
    </w:p>
    <w:p w:rsidR="00855D31" w:rsidRDefault="000C7D06" w:rsidP="000C7D06">
      <w:pPr>
        <w:pStyle w:val="ListParagraph"/>
        <w:numPr>
          <w:ilvl w:val="0"/>
          <w:numId w:val="1"/>
        </w:numPr>
      </w:pPr>
      <w:r>
        <w:t>Court</w:t>
      </w:r>
    </w:p>
    <w:p w:rsidR="000C7D06" w:rsidRDefault="000C7D06" w:rsidP="000C7D06">
      <w:pPr>
        <w:pStyle w:val="ListParagraph"/>
        <w:numPr>
          <w:ilvl w:val="1"/>
          <w:numId w:val="1"/>
        </w:numPr>
      </w:pPr>
      <w:r>
        <w:t>A date is s</w:t>
      </w:r>
      <w:r w:rsidR="00EB4800">
        <w:t xml:space="preserve">et for an admit/deny hearing.  </w:t>
      </w:r>
      <w:r w:rsidR="00981728">
        <w:t>The</w:t>
      </w:r>
      <w:r>
        <w:t xml:space="preserve"> School</w:t>
      </w:r>
      <w:r w:rsidR="00EB4800">
        <w:t xml:space="preserve"> District </w:t>
      </w:r>
      <w:r>
        <w:t xml:space="preserve">will get notice of this hearing by </w:t>
      </w:r>
      <w:r w:rsidR="00981728">
        <w:t xml:space="preserve">either the Court or the Count Attorney’s Office. </w:t>
      </w:r>
      <w:r>
        <w:t xml:space="preserve">  </w:t>
      </w:r>
    </w:p>
    <w:p w:rsidR="000C7D06" w:rsidRDefault="000C7D06" w:rsidP="000C7D06">
      <w:pPr>
        <w:pStyle w:val="ListParagraph"/>
        <w:numPr>
          <w:ilvl w:val="1"/>
          <w:numId w:val="1"/>
        </w:numPr>
      </w:pPr>
      <w:r>
        <w:t xml:space="preserve">If the parents and child admit at the first hearing, the Judge will order a disposition (see </w:t>
      </w:r>
      <w:r w:rsidR="0062478E">
        <w:t xml:space="preserve"># 8 </w:t>
      </w:r>
      <w:r>
        <w:t>below.)</w:t>
      </w:r>
    </w:p>
    <w:p w:rsidR="00A12130" w:rsidRPr="006A7E68" w:rsidRDefault="000C7D06" w:rsidP="000C7D06">
      <w:pPr>
        <w:pStyle w:val="ListParagraph"/>
        <w:numPr>
          <w:ilvl w:val="1"/>
          <w:numId w:val="1"/>
        </w:numPr>
      </w:pPr>
      <w:r w:rsidRPr="006A7E68">
        <w:t>If parents and child deny</w:t>
      </w:r>
      <w:r w:rsidR="003E3164">
        <w:t xml:space="preserve"> the allegations in the p</w:t>
      </w:r>
      <w:r w:rsidRPr="006A7E68">
        <w:t>etition, the Court may set it for a contested hearing</w:t>
      </w:r>
      <w:r w:rsidR="00981728">
        <w:t xml:space="preserve">.  The school will get notification of this hearing as well.  </w:t>
      </w:r>
    </w:p>
    <w:p w:rsidR="00A12130" w:rsidRDefault="00A12130" w:rsidP="00A12130">
      <w:pPr>
        <w:pStyle w:val="ListParagraph"/>
        <w:numPr>
          <w:ilvl w:val="0"/>
          <w:numId w:val="1"/>
        </w:numPr>
      </w:pPr>
      <w:r>
        <w:t>Disposition</w:t>
      </w:r>
    </w:p>
    <w:p w:rsidR="00A12130" w:rsidRDefault="00A12130" w:rsidP="00A12130">
      <w:pPr>
        <w:pStyle w:val="ListParagraph"/>
        <w:numPr>
          <w:ilvl w:val="1"/>
          <w:numId w:val="1"/>
        </w:numPr>
      </w:pPr>
      <w:r>
        <w:t xml:space="preserve">The Court will order the child to attend school, and if appropriate, order the parents to make sure the child does attend.  </w:t>
      </w:r>
    </w:p>
    <w:p w:rsidR="00A12130" w:rsidRDefault="00A12130" w:rsidP="00A12130">
      <w:pPr>
        <w:pStyle w:val="ListParagraph"/>
        <w:numPr>
          <w:ilvl w:val="1"/>
          <w:numId w:val="1"/>
        </w:numPr>
      </w:pPr>
      <w:r>
        <w:t xml:space="preserve">The Court will also order that the child follow the rules at home and at school, and have no law violations.  </w:t>
      </w:r>
    </w:p>
    <w:p w:rsidR="00A12130" w:rsidRDefault="00A12130" w:rsidP="00A12130">
      <w:pPr>
        <w:pStyle w:val="ListParagraph"/>
        <w:numPr>
          <w:ilvl w:val="1"/>
          <w:numId w:val="1"/>
        </w:numPr>
      </w:pPr>
      <w:r>
        <w:t>The Court has a number of minor sanctions that it can impose on a child, found in 260C.201 (b): fine, community work service,</w:t>
      </w:r>
      <w:r w:rsidR="00A355D7">
        <w:t xml:space="preserve"> chemical dependency evaluation, etc. </w:t>
      </w:r>
      <w:r>
        <w:t xml:space="preserve">  </w:t>
      </w:r>
    </w:p>
    <w:p w:rsidR="00A12130" w:rsidRDefault="003E3164" w:rsidP="00A12130">
      <w:pPr>
        <w:pStyle w:val="ListParagraph"/>
        <w:numPr>
          <w:ilvl w:val="1"/>
          <w:numId w:val="1"/>
        </w:numPr>
      </w:pPr>
      <w:r>
        <w:t>The Court may warn the child and p</w:t>
      </w:r>
      <w:r w:rsidR="00A12130">
        <w:t>arents that viol</w:t>
      </w:r>
      <w:r>
        <w:t>ations of the Court’s order is c</w:t>
      </w:r>
      <w:r w:rsidR="00A12130">
        <w:t>ontempt and ultimately punishable by incarceration. (</w:t>
      </w:r>
      <w:proofErr w:type="spellStart"/>
      <w:r w:rsidR="00A12130">
        <w:t>Hammergren</w:t>
      </w:r>
      <w:proofErr w:type="spellEnd"/>
      <w:r w:rsidR="00A12130">
        <w:t xml:space="preserve"> Warning. 294 NW2d 705) </w:t>
      </w:r>
    </w:p>
    <w:p w:rsidR="002E0532" w:rsidRDefault="002E0532" w:rsidP="00A12130">
      <w:pPr>
        <w:pStyle w:val="ListParagraph"/>
        <w:numPr>
          <w:ilvl w:val="0"/>
          <w:numId w:val="1"/>
        </w:numPr>
      </w:pPr>
      <w:r>
        <w:t>Post-</w:t>
      </w:r>
      <w:r w:rsidR="00A12130">
        <w:t>Disposition,</w:t>
      </w:r>
    </w:p>
    <w:p w:rsidR="00A12130" w:rsidRDefault="002E0532" w:rsidP="002E0532">
      <w:pPr>
        <w:pStyle w:val="ListParagraph"/>
        <w:numPr>
          <w:ilvl w:val="1"/>
          <w:numId w:val="1"/>
        </w:numPr>
      </w:pPr>
      <w:r>
        <w:t>T</w:t>
      </w:r>
      <w:r w:rsidR="00A12130">
        <w:t>he School needs to continue to monitor the child</w:t>
      </w:r>
      <w:r>
        <w:t>.</w:t>
      </w:r>
    </w:p>
    <w:p w:rsidR="00A12130" w:rsidRDefault="00A12130" w:rsidP="00A12130">
      <w:pPr>
        <w:pStyle w:val="ListParagraph"/>
        <w:numPr>
          <w:ilvl w:val="1"/>
          <w:numId w:val="1"/>
        </w:numPr>
      </w:pPr>
      <w:r>
        <w:t xml:space="preserve">Further unexcused absences or </w:t>
      </w:r>
      <w:r w:rsidR="002E0532">
        <w:t xml:space="preserve">rule </w:t>
      </w:r>
      <w:r>
        <w:t xml:space="preserve">violations at school </w:t>
      </w:r>
      <w:r w:rsidR="002E0532">
        <w:t xml:space="preserve">or at home </w:t>
      </w:r>
      <w:r>
        <w:t>should be reported to the County Attorney’s office.</w:t>
      </w:r>
    </w:p>
    <w:p w:rsidR="0062478E" w:rsidRDefault="0062478E" w:rsidP="00A12130">
      <w:pPr>
        <w:pStyle w:val="ListParagraph"/>
        <w:numPr>
          <w:ilvl w:val="0"/>
          <w:numId w:val="1"/>
        </w:numPr>
      </w:pPr>
      <w:r>
        <w:t>Violation of Court Order</w:t>
      </w:r>
    </w:p>
    <w:p w:rsidR="000C7D06" w:rsidRDefault="002E320B" w:rsidP="0062478E">
      <w:pPr>
        <w:pStyle w:val="ListParagraph"/>
        <w:numPr>
          <w:ilvl w:val="1"/>
          <w:numId w:val="1"/>
        </w:numPr>
      </w:pPr>
      <w:r w:rsidRPr="00532EC6">
        <w:rPr>
          <w:highlight w:val="yellow"/>
        </w:rPr>
        <w:t>If further violations occu</w:t>
      </w:r>
      <w:r w:rsidR="00A355D7" w:rsidRPr="00532EC6">
        <w:rPr>
          <w:highlight w:val="yellow"/>
        </w:rPr>
        <w:t xml:space="preserve">r, the County Attorney will </w:t>
      </w:r>
      <w:r w:rsidR="00D802BC" w:rsidRPr="00532EC6">
        <w:rPr>
          <w:highlight w:val="yellow"/>
        </w:rPr>
        <w:t>file a delinquency petition on the child for contempt for not following the Court’s order</w:t>
      </w:r>
      <w:r>
        <w:t xml:space="preserve">.  </w:t>
      </w:r>
    </w:p>
    <w:p w:rsidR="002E320B" w:rsidRDefault="002E320B" w:rsidP="002E320B">
      <w:pPr>
        <w:pStyle w:val="ListParagraph"/>
        <w:numPr>
          <w:ilvl w:val="1"/>
          <w:numId w:val="1"/>
        </w:numPr>
      </w:pPr>
      <w:r>
        <w:t xml:space="preserve">Again, the school will get notice of the hearing and should have a </w:t>
      </w:r>
      <w:r w:rsidR="00840728">
        <w:t>knowledgeable</w:t>
      </w:r>
      <w:r>
        <w:t xml:space="preserve"> staff member attend the hearing.  </w:t>
      </w:r>
    </w:p>
    <w:p w:rsidR="002E320B" w:rsidRDefault="002E320B" w:rsidP="002E320B">
      <w:pPr>
        <w:pStyle w:val="ListParagraph"/>
        <w:numPr>
          <w:ilvl w:val="1"/>
          <w:numId w:val="1"/>
        </w:numPr>
      </w:pPr>
      <w:r>
        <w:t>Court will rule on whether the violation occurred.</w:t>
      </w:r>
    </w:p>
    <w:p w:rsidR="002E320B" w:rsidRDefault="00EB4800" w:rsidP="002E320B">
      <w:pPr>
        <w:pStyle w:val="ListParagraph"/>
        <w:numPr>
          <w:ilvl w:val="1"/>
          <w:numId w:val="1"/>
        </w:numPr>
      </w:pPr>
      <w:r>
        <w:t>T</w:t>
      </w:r>
      <w:r w:rsidR="002E320B">
        <w:t xml:space="preserve">he Court can order further sanctions, including contempt on parents and child, and possible incarceration.  </w:t>
      </w:r>
    </w:p>
    <w:p w:rsidR="002E320B" w:rsidRDefault="002E320B" w:rsidP="002E320B">
      <w:pPr>
        <w:pStyle w:val="ListParagraph"/>
        <w:numPr>
          <w:ilvl w:val="1"/>
          <w:numId w:val="1"/>
        </w:numPr>
      </w:pPr>
      <w:r>
        <w:t>The Court can hear multiple violations over th</w:t>
      </w:r>
      <w:r w:rsidR="00A355D7">
        <w:t>e course of the school year so.  I</w:t>
      </w:r>
      <w:r>
        <w:t xml:space="preserve">t is the School’s discretion whether to ask to file on each violation or wait until a number of violations occur.    </w:t>
      </w:r>
    </w:p>
    <w:p w:rsidR="00AD4347" w:rsidRDefault="00AD4347">
      <w:r>
        <w:tab/>
        <w:t xml:space="preserve"> </w:t>
      </w:r>
    </w:p>
    <w:p w:rsidR="00840728" w:rsidRDefault="00840728"/>
    <w:p w:rsidR="00EB4800" w:rsidRDefault="00EB4800">
      <w:pPr>
        <w:rPr>
          <w:u w:val="single"/>
        </w:rPr>
      </w:pPr>
    </w:p>
    <w:p w:rsidR="00EB4800" w:rsidRDefault="00EB4800">
      <w:pPr>
        <w:rPr>
          <w:u w:val="single"/>
        </w:rPr>
      </w:pPr>
    </w:p>
    <w:p w:rsidR="00EB4800" w:rsidRDefault="00EB4800">
      <w:pPr>
        <w:rPr>
          <w:u w:val="single"/>
        </w:rPr>
      </w:pPr>
    </w:p>
    <w:p w:rsidR="00EB4800" w:rsidRDefault="00EB4800">
      <w:pPr>
        <w:rPr>
          <w:u w:val="single"/>
        </w:rPr>
      </w:pPr>
    </w:p>
    <w:p w:rsidR="00840728" w:rsidRPr="00840728" w:rsidRDefault="00840728">
      <w:pPr>
        <w:rPr>
          <w:u w:val="single"/>
        </w:rPr>
      </w:pPr>
      <w:proofErr w:type="gramStart"/>
      <w:r w:rsidRPr="00840728">
        <w:rPr>
          <w:u w:val="single"/>
        </w:rPr>
        <w:t xml:space="preserve">Educational Neglect – Especially children </w:t>
      </w:r>
      <w:r w:rsidRPr="00840728">
        <w:rPr>
          <w:i/>
          <w:u w:val="single"/>
        </w:rPr>
        <w:t>under</w:t>
      </w:r>
      <w:r w:rsidRPr="00840728">
        <w:rPr>
          <w:u w:val="single"/>
        </w:rPr>
        <w:t xml:space="preserve"> 12 years old.</w:t>
      </w:r>
      <w:proofErr w:type="gramEnd"/>
      <w:r w:rsidRPr="00840728">
        <w:rPr>
          <w:u w:val="single"/>
        </w:rPr>
        <w:t xml:space="preserve"> </w:t>
      </w:r>
    </w:p>
    <w:p w:rsidR="00840728" w:rsidRDefault="00840728"/>
    <w:p w:rsidR="00840728" w:rsidRDefault="002E0532" w:rsidP="002E0532">
      <w:pPr>
        <w:pStyle w:val="ListParagraph"/>
        <w:numPr>
          <w:ilvl w:val="0"/>
          <w:numId w:val="3"/>
        </w:numPr>
      </w:pPr>
      <w:r>
        <w:t>Case by case determination.</w:t>
      </w:r>
      <w:r w:rsidR="00840728">
        <w:t xml:space="preserve">  </w:t>
      </w:r>
    </w:p>
    <w:p w:rsidR="00840728" w:rsidRDefault="0060585D" w:rsidP="00840728">
      <w:pPr>
        <w:pStyle w:val="ListParagraph"/>
        <w:numPr>
          <w:ilvl w:val="0"/>
          <w:numId w:val="3"/>
        </w:numPr>
      </w:pPr>
      <w:r>
        <w:lastRenderedPageBreak/>
        <w:t xml:space="preserve">No set procedure - </w:t>
      </w:r>
      <w:r w:rsidR="0004237D">
        <w:t>s</w:t>
      </w:r>
      <w:r w:rsidR="00840728">
        <w:t xml:space="preserve">chool </w:t>
      </w:r>
      <w:r w:rsidR="003E3164">
        <w:t>must</w:t>
      </w:r>
      <w:r w:rsidR="00840728">
        <w:t xml:space="preserve"> attempt to contact the parents to find a remedy to the missed school.  </w:t>
      </w:r>
    </w:p>
    <w:p w:rsidR="0004237D" w:rsidRDefault="00840728" w:rsidP="00840728">
      <w:pPr>
        <w:pStyle w:val="ListParagraph"/>
        <w:numPr>
          <w:ilvl w:val="0"/>
          <w:numId w:val="3"/>
        </w:numPr>
      </w:pPr>
      <w:r>
        <w:t>A CHIPs petition can be filed on a parent for Educational Neglect</w:t>
      </w:r>
      <w:r w:rsidR="0004237D">
        <w:t>.  Call the County Attorney’s Office for guidance on what constitutes Educational Neglect and when</w:t>
      </w:r>
      <w:r w:rsidR="00881E07">
        <w:t xml:space="preserve"> and if the</w:t>
      </w:r>
      <w:r w:rsidR="0004237D">
        <w:t xml:space="preserve"> School can file a petition.</w:t>
      </w:r>
    </w:p>
    <w:p w:rsidR="0004237D" w:rsidRDefault="002E0532" w:rsidP="00840728">
      <w:pPr>
        <w:pStyle w:val="ListParagraph"/>
        <w:numPr>
          <w:ilvl w:val="0"/>
          <w:numId w:val="3"/>
        </w:numPr>
      </w:pPr>
      <w:r>
        <w:t xml:space="preserve">Basic </w:t>
      </w:r>
      <w:r w:rsidR="0004237D">
        <w:t>Factors:</w:t>
      </w:r>
    </w:p>
    <w:p w:rsidR="00A919C7" w:rsidRDefault="00A919C7" w:rsidP="0004237D">
      <w:pPr>
        <w:pStyle w:val="ListParagraph"/>
        <w:numPr>
          <w:ilvl w:val="1"/>
          <w:numId w:val="3"/>
        </w:numPr>
      </w:pPr>
      <w:r>
        <w:t>Child under 12 years old – could use it on older children depending on the case.</w:t>
      </w:r>
    </w:p>
    <w:p w:rsidR="00C92DFF" w:rsidRDefault="00C92DFF" w:rsidP="00C92DFF">
      <w:pPr>
        <w:pStyle w:val="ListParagraph"/>
        <w:numPr>
          <w:ilvl w:val="2"/>
          <w:numId w:val="3"/>
        </w:numPr>
      </w:pPr>
      <w:r>
        <w:t xml:space="preserve">Follows the presumption in MN 260C.163, </w:t>
      </w:r>
      <w:proofErr w:type="spellStart"/>
      <w:r>
        <w:t>subd</w:t>
      </w:r>
      <w:proofErr w:type="spellEnd"/>
      <w:r>
        <w:t xml:space="preserve">. 11, in that a child’s absence from school is presumed to be due to the parents if the child is under 12.  </w:t>
      </w:r>
    </w:p>
    <w:p w:rsidR="002E0532" w:rsidRDefault="002E0532" w:rsidP="002E0532">
      <w:pPr>
        <w:pStyle w:val="ListParagraph"/>
        <w:numPr>
          <w:ilvl w:val="1"/>
          <w:numId w:val="3"/>
        </w:numPr>
      </w:pPr>
      <w:r w:rsidRPr="002E0532">
        <w:t xml:space="preserve">High number of </w:t>
      </w:r>
      <w:r>
        <w:t xml:space="preserve">parent </w:t>
      </w:r>
      <w:r w:rsidRPr="002E0532">
        <w:t>excused absences, but not enough unexcused to file a CHIPs petition.</w:t>
      </w:r>
      <w:r>
        <w:t xml:space="preserve">  </w:t>
      </w:r>
    </w:p>
    <w:p w:rsidR="00881E07" w:rsidRDefault="002E0532" w:rsidP="0004237D">
      <w:pPr>
        <w:pStyle w:val="ListParagraph"/>
        <w:numPr>
          <w:ilvl w:val="1"/>
          <w:numId w:val="3"/>
        </w:numPr>
      </w:pPr>
      <w:r>
        <w:t>E</w:t>
      </w:r>
      <w:r w:rsidR="0004237D">
        <w:t xml:space="preserve">xcused </w:t>
      </w:r>
      <w:r>
        <w:t>absences are</w:t>
      </w:r>
      <w:r w:rsidR="0004237D">
        <w:t xml:space="preserve"> interfering with child’s education</w:t>
      </w:r>
      <w:r>
        <w:t>.</w:t>
      </w:r>
    </w:p>
    <w:p w:rsidR="004C466F" w:rsidRDefault="004C466F" w:rsidP="004C466F">
      <w:pPr>
        <w:pStyle w:val="ListParagraph"/>
        <w:ind w:left="1440"/>
      </w:pPr>
    </w:p>
    <w:p w:rsidR="0004237D" w:rsidRDefault="0004237D" w:rsidP="002E0532">
      <w:pPr>
        <w:pStyle w:val="ListParagraph"/>
        <w:ind w:left="1440"/>
      </w:pPr>
    </w:p>
    <w:p w:rsidR="00840728" w:rsidRDefault="00840728"/>
    <w:p w:rsidR="00840728" w:rsidRPr="00262AEE" w:rsidRDefault="00840728"/>
    <w:sectPr w:rsidR="00840728" w:rsidRPr="00262AEE" w:rsidSect="00947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E07" w:rsidRDefault="00881E07" w:rsidP="00AD4347">
      <w:r>
        <w:separator/>
      </w:r>
    </w:p>
  </w:endnote>
  <w:endnote w:type="continuationSeparator" w:id="0">
    <w:p w:rsidR="00881E07" w:rsidRDefault="00881E07" w:rsidP="00AD4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E07" w:rsidRDefault="00881E07" w:rsidP="00AD4347">
      <w:r>
        <w:separator/>
      </w:r>
    </w:p>
  </w:footnote>
  <w:footnote w:type="continuationSeparator" w:id="0">
    <w:p w:rsidR="00881E07" w:rsidRDefault="00881E07" w:rsidP="00AD4347">
      <w:r>
        <w:continuationSeparator/>
      </w:r>
    </w:p>
  </w:footnote>
  <w:footnote w:id="1">
    <w:p w:rsidR="00881E07" w:rsidRDefault="00881E07">
      <w:pPr>
        <w:pStyle w:val="FootnoteText"/>
      </w:pPr>
      <w:r>
        <w:rPr>
          <w:rStyle w:val="FootnoteReference"/>
        </w:rPr>
        <w:footnoteRef/>
      </w:r>
      <w:r>
        <w:t xml:space="preserve"> Substitute for </w:t>
      </w:r>
      <w:r w:rsidRPr="00AD4347">
        <w:t>page 11 in Truancy Intervention Program</w:t>
      </w:r>
    </w:p>
  </w:footnote>
  <w:footnote w:id="2">
    <w:p w:rsidR="00881E07" w:rsidRDefault="00881E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If need, this section could be expanded to include option, or give suggestions as to what parents can do to get their child to school.</w:t>
      </w:r>
      <w:proofErr w:type="gramEnd"/>
      <w:r>
        <w:t xml:space="preserve">  </w:t>
      </w:r>
    </w:p>
  </w:footnote>
  <w:footnote w:id="3">
    <w:p w:rsidR="00881E07" w:rsidRDefault="00881E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Maybe a </w:t>
      </w:r>
      <w:proofErr w:type="spellStart"/>
      <w:r>
        <w:t>Hammerg</w:t>
      </w:r>
      <w:r w:rsidR="003E3164">
        <w:t>r</w:t>
      </w:r>
      <w:r>
        <w:t>en</w:t>
      </w:r>
      <w:proofErr w:type="spellEnd"/>
      <w:r>
        <w:t xml:space="preserve"> Warning to parents and child in the petition?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74C76"/>
    <w:multiLevelType w:val="hybridMultilevel"/>
    <w:tmpl w:val="04AA4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06FF0"/>
    <w:multiLevelType w:val="hybridMultilevel"/>
    <w:tmpl w:val="3148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C0B8B"/>
    <w:multiLevelType w:val="hybridMultilevel"/>
    <w:tmpl w:val="54D87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AEE"/>
    <w:rsid w:val="0004237D"/>
    <w:rsid w:val="000C7D06"/>
    <w:rsid w:val="00262AEE"/>
    <w:rsid w:val="002B6AA5"/>
    <w:rsid w:val="002E0532"/>
    <w:rsid w:val="002E320B"/>
    <w:rsid w:val="00393EBE"/>
    <w:rsid w:val="003E3164"/>
    <w:rsid w:val="004461FC"/>
    <w:rsid w:val="00457D4F"/>
    <w:rsid w:val="004C466F"/>
    <w:rsid w:val="00532EC6"/>
    <w:rsid w:val="0059130C"/>
    <w:rsid w:val="005F63CC"/>
    <w:rsid w:val="0060585D"/>
    <w:rsid w:val="0062478E"/>
    <w:rsid w:val="006A7E68"/>
    <w:rsid w:val="00801CCA"/>
    <w:rsid w:val="00840728"/>
    <w:rsid w:val="00855D31"/>
    <w:rsid w:val="00881E07"/>
    <w:rsid w:val="00947872"/>
    <w:rsid w:val="00981728"/>
    <w:rsid w:val="00A12130"/>
    <w:rsid w:val="00A355D7"/>
    <w:rsid w:val="00A919C7"/>
    <w:rsid w:val="00AB6225"/>
    <w:rsid w:val="00AD4347"/>
    <w:rsid w:val="00BD555D"/>
    <w:rsid w:val="00C92DFF"/>
    <w:rsid w:val="00D513F0"/>
    <w:rsid w:val="00D802BC"/>
    <w:rsid w:val="00E12B24"/>
    <w:rsid w:val="00EB4800"/>
    <w:rsid w:val="00EF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4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5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5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5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57D4F"/>
    <w:rPr>
      <w:b/>
      <w:bCs/>
    </w:rPr>
  </w:style>
  <w:style w:type="character" w:styleId="Emphasis">
    <w:name w:val="Emphasis"/>
    <w:basedOn w:val="DefaultParagraphFont"/>
    <w:uiPriority w:val="20"/>
    <w:qFormat/>
    <w:rsid w:val="0045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57D4F"/>
    <w:rPr>
      <w:szCs w:val="32"/>
    </w:rPr>
  </w:style>
  <w:style w:type="paragraph" w:styleId="ListParagraph">
    <w:name w:val="List Paragraph"/>
    <w:basedOn w:val="Normal"/>
    <w:uiPriority w:val="34"/>
    <w:qFormat/>
    <w:rsid w:val="0045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5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7D4F"/>
    <w:rPr>
      <w:b/>
      <w:i/>
      <w:sz w:val="24"/>
    </w:rPr>
  </w:style>
  <w:style w:type="character" w:styleId="SubtleEmphasis">
    <w:name w:val="Subtle Emphasis"/>
    <w:uiPriority w:val="19"/>
    <w:qFormat/>
    <w:rsid w:val="0045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5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5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5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5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7D4F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D43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43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43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F216-F81C-4D78-9CD0-2F6A7730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Renville County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Stratton</dc:creator>
  <cp:lastModifiedBy>Laurence Stratton</cp:lastModifiedBy>
  <cp:revision>19</cp:revision>
  <cp:lastPrinted>2011-10-07T15:23:00Z</cp:lastPrinted>
  <dcterms:created xsi:type="dcterms:W3CDTF">2011-09-28T13:10:00Z</dcterms:created>
  <dcterms:modified xsi:type="dcterms:W3CDTF">2011-10-14T18:53:00Z</dcterms:modified>
</cp:coreProperties>
</file>